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8148" w14:textId="77777777" w:rsidR="00983033" w:rsidRDefault="00C86C67">
      <w:r>
        <w:rPr>
          <w:noProof/>
        </w:rPr>
        <w:drawing>
          <wp:inline distT="0" distB="0" distL="0" distR="0" wp14:anchorId="0CFAB8A1" wp14:editId="0989BCC0">
            <wp:extent cx="6057900" cy="44577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DE8E54" w14:textId="77777777" w:rsidR="00804FA9" w:rsidRDefault="00804FA9"/>
    <w:p w14:paraId="76073149" w14:textId="77777777" w:rsidR="00804FA9" w:rsidRPr="00804FA9" w:rsidRDefault="00804FA9" w:rsidP="00804FA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Rynearson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Violent Death </w:t>
      </w:r>
      <w:r>
        <w:rPr>
          <w:sz w:val="20"/>
          <w:szCs w:val="20"/>
        </w:rPr>
        <w:t>(2006)</w:t>
      </w:r>
    </w:p>
    <w:sectPr w:rsidR="00804FA9" w:rsidRPr="00804FA9" w:rsidSect="00DC2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17B7" w14:textId="77777777" w:rsidR="009879AE" w:rsidRDefault="009879AE" w:rsidP="004F4F76">
      <w:pPr>
        <w:spacing w:after="0" w:line="240" w:lineRule="auto"/>
      </w:pPr>
      <w:r>
        <w:separator/>
      </w:r>
    </w:p>
  </w:endnote>
  <w:endnote w:type="continuationSeparator" w:id="0">
    <w:p w14:paraId="5683D071" w14:textId="77777777" w:rsidR="009879AE" w:rsidRDefault="009879AE" w:rsidP="004F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D9D9" w14:textId="77777777" w:rsidR="00BC314A" w:rsidRDefault="00BC31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C2D2" w14:textId="77777777" w:rsidR="00CD3AB9" w:rsidRDefault="00CD3AB9" w:rsidP="00CD3AB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642AFF5D" w14:textId="77777777" w:rsidR="004F4F76" w:rsidRDefault="004F4F7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E965" w14:textId="77777777" w:rsidR="00BC314A" w:rsidRDefault="00BC31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AD770" w14:textId="77777777" w:rsidR="009879AE" w:rsidRDefault="009879AE" w:rsidP="004F4F76">
      <w:pPr>
        <w:spacing w:after="0" w:line="240" w:lineRule="auto"/>
      </w:pPr>
      <w:r>
        <w:separator/>
      </w:r>
    </w:p>
  </w:footnote>
  <w:footnote w:type="continuationSeparator" w:id="0">
    <w:p w14:paraId="4791BCD8" w14:textId="77777777" w:rsidR="009879AE" w:rsidRDefault="009879AE" w:rsidP="004F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DEC6" w14:textId="77777777" w:rsidR="00BC314A" w:rsidRDefault="00BC31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BA1E" w14:textId="77777777" w:rsidR="004F4F76" w:rsidRDefault="00BC314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Different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24131F56D191494998435D6C2FD1D52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Patterns of Disruption </w:t>
        </w:r>
        <w:r w:rsidR="00945E83">
          <w:rPr>
            <w:rFonts w:asciiTheme="majorHAnsi" w:eastAsiaTheme="majorEastAsia" w:hAnsiTheme="majorHAnsi" w:cstheme="majorBidi"/>
            <w:sz w:val="32"/>
            <w:szCs w:val="32"/>
          </w:rPr>
          <w:t>Following Loss</w:t>
        </w:r>
      </w:sdtContent>
    </w:sdt>
  </w:p>
  <w:p w14:paraId="4C4DF2D4" w14:textId="77777777" w:rsidR="004F4F76" w:rsidRDefault="004F4F76">
    <w:pPr>
      <w:pStyle w:val="Header"/>
    </w:pPr>
  </w:p>
  <w:p w14:paraId="6569985D" w14:textId="77777777" w:rsidR="00945E83" w:rsidRDefault="00945E83">
    <w:pPr>
      <w:pStyle w:val="Header"/>
    </w:pPr>
  </w:p>
  <w:p w14:paraId="1F071076" w14:textId="77777777" w:rsidR="00945E83" w:rsidRDefault="00945E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559F" w14:textId="77777777" w:rsidR="00BC314A" w:rsidRDefault="00BC3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C67"/>
    <w:rsid w:val="00081DA1"/>
    <w:rsid w:val="001F41F5"/>
    <w:rsid w:val="00210730"/>
    <w:rsid w:val="003A3FA5"/>
    <w:rsid w:val="00491957"/>
    <w:rsid w:val="004F4F76"/>
    <w:rsid w:val="006A0A15"/>
    <w:rsid w:val="007E5874"/>
    <w:rsid w:val="00804FA9"/>
    <w:rsid w:val="00826CC0"/>
    <w:rsid w:val="00872B02"/>
    <w:rsid w:val="008A2FBD"/>
    <w:rsid w:val="008A51EA"/>
    <w:rsid w:val="00945E83"/>
    <w:rsid w:val="009879AE"/>
    <w:rsid w:val="00A45661"/>
    <w:rsid w:val="00BC314A"/>
    <w:rsid w:val="00C86C67"/>
    <w:rsid w:val="00CD3AB9"/>
    <w:rsid w:val="00D83407"/>
    <w:rsid w:val="00DA5313"/>
    <w:rsid w:val="00DB5836"/>
    <w:rsid w:val="00DC26C0"/>
    <w:rsid w:val="00E97BB6"/>
    <w:rsid w:val="00EA4615"/>
    <w:rsid w:val="00F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5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6"/>
  </w:style>
  <w:style w:type="paragraph" w:styleId="Footer">
    <w:name w:val="footer"/>
    <w:basedOn w:val="Normal"/>
    <w:link w:val="FooterChar"/>
    <w:uiPriority w:val="99"/>
    <w:unhideWhenUsed/>
    <w:rsid w:val="004F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Chronic</c:v>
                </c:pt>
              </c:strCache>
            </c:strRef>
          </c:tx>
          <c:marker>
            <c:symbol val="none"/>
          </c:marker>
          <c:cat>
            <c:strRef>
              <c:f>Sheet1!$A$2:$A$20</c:f>
              <c:strCache>
                <c:ptCount val="19"/>
                <c:pt idx="0">
                  <c:v>Event</c:v>
                </c:pt>
                <c:pt idx="8">
                  <c:v>1 Year</c:v>
                </c:pt>
                <c:pt idx="18">
                  <c:v>2 Years</c:v>
                </c:pt>
              </c:strCache>
            </c:str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4.7</c:v>
                </c:pt>
                <c:pt idx="1">
                  <c:v>5.1</c:v>
                </c:pt>
                <c:pt idx="2">
                  <c:v>4.8</c:v>
                </c:pt>
                <c:pt idx="3">
                  <c:v>4.45</c:v>
                </c:pt>
                <c:pt idx="4">
                  <c:v>5.5</c:v>
                </c:pt>
                <c:pt idx="5">
                  <c:v>5.149999999999999</c:v>
                </c:pt>
                <c:pt idx="6">
                  <c:v>4.5</c:v>
                </c:pt>
                <c:pt idx="7">
                  <c:v>5.0</c:v>
                </c:pt>
                <c:pt idx="8">
                  <c:v>4.2</c:v>
                </c:pt>
                <c:pt idx="9">
                  <c:v>5.0</c:v>
                </c:pt>
                <c:pt idx="10">
                  <c:v>4.6</c:v>
                </c:pt>
                <c:pt idx="11">
                  <c:v>5.1</c:v>
                </c:pt>
                <c:pt idx="12">
                  <c:v>4.25</c:v>
                </c:pt>
                <c:pt idx="13">
                  <c:v>4.75</c:v>
                </c:pt>
                <c:pt idx="14">
                  <c:v>4.6</c:v>
                </c:pt>
                <c:pt idx="15">
                  <c:v>4.85</c:v>
                </c:pt>
                <c:pt idx="16">
                  <c:v>4.45</c:v>
                </c:pt>
                <c:pt idx="17">
                  <c:v>4.6</c:v>
                </c:pt>
                <c:pt idx="18">
                  <c:v>4.4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Delayed</c:v>
                </c:pt>
              </c:strCache>
            </c:strRef>
          </c:tx>
          <c:marker>
            <c:symbol val="none"/>
          </c:marker>
          <c:cat>
            <c:strRef>
              <c:f>Sheet1!$A$2:$A$20</c:f>
              <c:strCache>
                <c:ptCount val="19"/>
                <c:pt idx="0">
                  <c:v>Event</c:v>
                </c:pt>
                <c:pt idx="8">
                  <c:v>1 Year</c:v>
                </c:pt>
                <c:pt idx="18">
                  <c:v>2 Years</c:v>
                </c:pt>
              </c:strCache>
            </c:strRef>
          </c:cat>
          <c:val>
            <c:numRef>
              <c:f>Sheet1!$C$2:$C$20</c:f>
              <c:numCache>
                <c:formatCode>General</c:formatCode>
                <c:ptCount val="19"/>
                <c:pt idx="0">
                  <c:v>2.4</c:v>
                </c:pt>
                <c:pt idx="1">
                  <c:v>2.8</c:v>
                </c:pt>
                <c:pt idx="2">
                  <c:v>1.8</c:v>
                </c:pt>
                <c:pt idx="3">
                  <c:v>2.2</c:v>
                </c:pt>
                <c:pt idx="4">
                  <c:v>2.3</c:v>
                </c:pt>
                <c:pt idx="5">
                  <c:v>1.5</c:v>
                </c:pt>
                <c:pt idx="6">
                  <c:v>1.9</c:v>
                </c:pt>
                <c:pt idx="7">
                  <c:v>1.6</c:v>
                </c:pt>
                <c:pt idx="8">
                  <c:v>1.8</c:v>
                </c:pt>
                <c:pt idx="9">
                  <c:v>1.700000000000001</c:v>
                </c:pt>
                <c:pt idx="10">
                  <c:v>2.3</c:v>
                </c:pt>
                <c:pt idx="11">
                  <c:v>2.5</c:v>
                </c:pt>
                <c:pt idx="12">
                  <c:v>2.3</c:v>
                </c:pt>
                <c:pt idx="13">
                  <c:v>3.25</c:v>
                </c:pt>
                <c:pt idx="14">
                  <c:v>2.9</c:v>
                </c:pt>
                <c:pt idx="15">
                  <c:v>4.2</c:v>
                </c:pt>
                <c:pt idx="16">
                  <c:v>3.7</c:v>
                </c:pt>
                <c:pt idx="17">
                  <c:v>4.1</c:v>
                </c:pt>
                <c:pt idx="18">
                  <c:v>4.1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Recovery</c:v>
                </c:pt>
              </c:strCache>
            </c:strRef>
          </c:tx>
          <c:marker>
            <c:symbol val="none"/>
          </c:marker>
          <c:cat>
            <c:strRef>
              <c:f>Sheet1!$A$2:$A$20</c:f>
              <c:strCache>
                <c:ptCount val="19"/>
                <c:pt idx="0">
                  <c:v>Event</c:v>
                </c:pt>
                <c:pt idx="8">
                  <c:v>1 Year</c:v>
                </c:pt>
                <c:pt idx="18">
                  <c:v>2 Years</c:v>
                </c:pt>
              </c:strCache>
            </c:strRef>
          </c:cat>
          <c:val>
            <c:numRef>
              <c:f>Sheet1!$D$2:$D$20</c:f>
              <c:numCache>
                <c:formatCode>General</c:formatCode>
                <c:ptCount val="19"/>
                <c:pt idx="0">
                  <c:v>3.4</c:v>
                </c:pt>
                <c:pt idx="1">
                  <c:v>3.45</c:v>
                </c:pt>
                <c:pt idx="2">
                  <c:v>3.8</c:v>
                </c:pt>
                <c:pt idx="3">
                  <c:v>3.4</c:v>
                </c:pt>
                <c:pt idx="4">
                  <c:v>4.2</c:v>
                </c:pt>
                <c:pt idx="5">
                  <c:v>3.7</c:v>
                </c:pt>
                <c:pt idx="6">
                  <c:v>3.8</c:v>
                </c:pt>
                <c:pt idx="7">
                  <c:v>2.9</c:v>
                </c:pt>
                <c:pt idx="8">
                  <c:v>3.2</c:v>
                </c:pt>
                <c:pt idx="9">
                  <c:v>2.3</c:v>
                </c:pt>
                <c:pt idx="10">
                  <c:v>1.8</c:v>
                </c:pt>
                <c:pt idx="11">
                  <c:v>2.5</c:v>
                </c:pt>
                <c:pt idx="12">
                  <c:v>1.6</c:v>
                </c:pt>
                <c:pt idx="13">
                  <c:v>2.2</c:v>
                </c:pt>
                <c:pt idx="14">
                  <c:v>1.25</c:v>
                </c:pt>
                <c:pt idx="15">
                  <c:v>1.0</c:v>
                </c:pt>
                <c:pt idx="16">
                  <c:v>1.35</c:v>
                </c:pt>
                <c:pt idx="17">
                  <c:v>1.0</c:v>
                </c:pt>
                <c:pt idx="18">
                  <c:v>1.5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Resilience</c:v>
                </c:pt>
              </c:strCache>
            </c:strRef>
          </c:tx>
          <c:marker>
            <c:symbol val="none"/>
          </c:marker>
          <c:cat>
            <c:strRef>
              <c:f>Sheet1!$A$2:$A$20</c:f>
              <c:strCache>
                <c:ptCount val="19"/>
                <c:pt idx="0">
                  <c:v>Event</c:v>
                </c:pt>
                <c:pt idx="8">
                  <c:v>1 Year</c:v>
                </c:pt>
                <c:pt idx="18">
                  <c:v>2 Years</c:v>
                </c:pt>
              </c:strCache>
            </c:strRef>
          </c:cat>
          <c:val>
            <c:numRef>
              <c:f>Sheet1!$E$2:$E$20</c:f>
              <c:numCache>
                <c:formatCode>General</c:formatCode>
                <c:ptCount val="19"/>
                <c:pt idx="0">
                  <c:v>1.65</c:v>
                </c:pt>
                <c:pt idx="1">
                  <c:v>2.2</c:v>
                </c:pt>
                <c:pt idx="2">
                  <c:v>1.25</c:v>
                </c:pt>
                <c:pt idx="3">
                  <c:v>0.700000000000001</c:v>
                </c:pt>
                <c:pt idx="4">
                  <c:v>0.9</c:v>
                </c:pt>
                <c:pt idx="5">
                  <c:v>0.600000000000001</c:v>
                </c:pt>
                <c:pt idx="6">
                  <c:v>0.8</c:v>
                </c:pt>
                <c:pt idx="7">
                  <c:v>0.55</c:v>
                </c:pt>
                <c:pt idx="8">
                  <c:v>0.8</c:v>
                </c:pt>
                <c:pt idx="9">
                  <c:v>0.45</c:v>
                </c:pt>
                <c:pt idx="10">
                  <c:v>0.700000000000001</c:v>
                </c:pt>
                <c:pt idx="11">
                  <c:v>0.600000000000001</c:v>
                </c:pt>
                <c:pt idx="12">
                  <c:v>0.700000000000001</c:v>
                </c:pt>
                <c:pt idx="13">
                  <c:v>0.55</c:v>
                </c:pt>
                <c:pt idx="14">
                  <c:v>0.650000000000001</c:v>
                </c:pt>
                <c:pt idx="15">
                  <c:v>0.600000000000001</c:v>
                </c:pt>
                <c:pt idx="16">
                  <c:v>0.625000000000001</c:v>
                </c:pt>
                <c:pt idx="17">
                  <c:v>0.600000000000001</c:v>
                </c:pt>
                <c:pt idx="18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540232"/>
        <c:axId val="2114897352"/>
      </c:lineChart>
      <c:catAx>
        <c:axId val="2114540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4897352"/>
        <c:crosses val="autoZero"/>
        <c:auto val="1"/>
        <c:lblAlgn val="ctr"/>
        <c:lblOffset val="100"/>
        <c:noMultiLvlLbl val="0"/>
      </c:catAx>
      <c:valAx>
        <c:axId val="2114897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540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604075532225"/>
          <c:y val="0.12632608423947"/>
          <c:w val="0.163507035578886"/>
          <c:h val="0.679887514060743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131F56D191494998435D6C2FD1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F134-AC39-4F4A-88BB-E9BCD4387A52}"/>
      </w:docPartPr>
      <w:docPartBody>
        <w:p w:rsidR="007C3FB9" w:rsidRDefault="00A446B5" w:rsidP="00A446B5">
          <w:pPr>
            <w:pStyle w:val="24131F56D191494998435D6C2FD1D5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6B5"/>
    <w:rsid w:val="005E1368"/>
    <w:rsid w:val="007C3FB9"/>
    <w:rsid w:val="00A446B5"/>
    <w:rsid w:val="00CA39C5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31F56D191494998435D6C2FD1D522">
    <w:name w:val="24131F56D191494998435D6C2FD1D522"/>
    <w:rsid w:val="00A446B5"/>
  </w:style>
  <w:style w:type="paragraph" w:customStyle="1" w:styleId="0741759615224891BBCEDBCA007BA8A6">
    <w:name w:val="0741759615224891BBCEDBCA007BA8A6"/>
    <w:rsid w:val="00A446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62A4-A090-0245-871C-70819411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Patterns of Disruption in Normal Functioning Following Loss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Patterns of Disruption Following Loss</dc:title>
  <dc:creator>Phyllis Rogers</dc:creator>
  <cp:lastModifiedBy>Phyllis Rogers</cp:lastModifiedBy>
  <cp:revision>10</cp:revision>
  <dcterms:created xsi:type="dcterms:W3CDTF">2009-01-11T22:10:00Z</dcterms:created>
  <dcterms:modified xsi:type="dcterms:W3CDTF">2012-04-24T03:25:00Z</dcterms:modified>
</cp:coreProperties>
</file>