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Arkansas Youth Development Institute</w:t>
      </w:r>
    </w:p>
    <w:p>
      <w:pPr>
        <w:pStyle w:val="Body"/>
        <w:spacing w:after="0"/>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COURSE LISTINGS AND </w:t>
      </w:r>
    </w:p>
    <w:p>
      <w:pPr>
        <w:pStyle w:val="Body"/>
        <w:pBdr>
          <w:top w:val="nil"/>
          <w:left w:val="nil"/>
          <w:bottom w:val="single" w:color="000000" w:sz="12" w:space="0" w:shadow="0" w:frame="0"/>
          <w:right w:val="nil"/>
        </w:pBdr>
        <w:spacing w:after="0"/>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TRAINING HOUR EQUIVALENTS</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following is a list of all courses currently offered through the Arkansas Youth Development Institute, along with the assigned number of training hours credit assigned for each course. Though the time it takes individuals to complete each course will vary, the number of training hours assigned to each course will not.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courses offered through the Arkansas YDI are as follows: </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45"/>
        <w:gridCol w:w="805"/>
      </w:tblGrid>
      <w:tr>
        <w:tblPrEx>
          <w:shd w:val="clear" w:color="auto" w:fill="ced7e7"/>
        </w:tblPrEx>
        <w:trPr>
          <w:trHeight w:val="874" w:hRule="atLeast"/>
        </w:trPr>
        <w:tc>
          <w:tcPr>
            <w:tcW w:type="dxa" w:w="9350"/>
            <w:gridSpan w:val="2"/>
            <w:tcBorders>
              <w:top w:val="nil"/>
              <w:left w:val="nil"/>
              <w:bottom w:val="nil"/>
              <w:right w:val="nil"/>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Course Title                                 Assigned Number of Training Hours Credit </w:t>
            </w:r>
          </w:p>
          <w:p>
            <w:pPr>
              <w:pStyle w:val="Body"/>
              <w:bidi w:val="0"/>
              <w:spacing w:after="0" w:line="240" w:lineRule="auto"/>
              <w:ind w:left="0" w:right="0" w:firstLine="0"/>
              <w:jc w:val="left"/>
              <w:rPr>
                <w:rtl w:val="0"/>
              </w:rPr>
            </w:pPr>
            <w:r>
              <w:rPr>
                <w:rFonts w:ascii="Times New Roman" w:hAnsi="Times New Roman"/>
                <w:b w:val="1"/>
                <w:bCs w:val="1"/>
                <w:sz w:val="28"/>
                <w:szCs w:val="28"/>
                <w:rtl w:val="0"/>
                <w:lang w:val="en-US"/>
              </w:rPr>
              <w:t xml:space="preserve"> </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Adolescent Development *</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1.0</w:t>
            </w:r>
          </w:p>
        </w:tc>
      </w:tr>
      <w:tr>
        <w:tblPrEx>
          <w:shd w:val="clear" w:color="auto" w:fill="ced7e7"/>
        </w:tblPrEx>
        <w:trPr>
          <w:trHeight w:val="2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Adverse Childhood Experiences</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1.0</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Age Appropriate Discipline *</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2.0</w:t>
            </w:r>
          </w:p>
        </w:tc>
      </w:tr>
      <w:tr>
        <w:tblPrEx>
          <w:shd w:val="clear" w:color="auto" w:fill="ced7e7"/>
        </w:tblPrEx>
        <w:trPr>
          <w:trHeight w:val="2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020"/>
              </w:tabs>
              <w:spacing w:after="0" w:line="240" w:lineRule="auto"/>
            </w:pPr>
            <w:r>
              <w:rPr>
                <w:rFonts w:ascii="Times New Roman" w:hAnsi="Times New Roman"/>
                <w:b w:val="1"/>
                <w:bCs w:val="1"/>
                <w:sz w:val="24"/>
                <w:szCs w:val="24"/>
                <w:rtl w:val="0"/>
                <w:lang w:val="en-US"/>
              </w:rPr>
              <w:t>The Art of Inclusion (part 1)</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020"/>
              </w:tabs>
              <w:spacing w:after="0" w:line="240" w:lineRule="auto"/>
            </w:pPr>
            <w:r>
              <w:rPr>
                <w:rFonts w:ascii="Times New Roman" w:hAnsi="Times New Roman"/>
                <w:sz w:val="24"/>
                <w:szCs w:val="24"/>
                <w:rtl w:val="0"/>
                <w:lang w:val="en-US"/>
              </w:rPr>
              <w:t>1.0</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The Art of Inclusion (part 2)</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1.0</w:t>
            </w:r>
          </w:p>
        </w:tc>
      </w:tr>
      <w:tr>
        <w:tblPrEx>
          <w:shd w:val="clear" w:color="auto" w:fill="ced7e7"/>
        </w:tblPrEx>
        <w:trPr>
          <w:trHeight w:val="5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Best Practices in OST Evaluation</w:t>
            </w:r>
          </w:p>
          <w:p>
            <w:pPr>
              <w:pStyle w:val="Body"/>
              <w:bidi w:val="0"/>
              <w:spacing w:after="0" w:line="240" w:lineRule="auto"/>
              <w:ind w:left="0" w:right="0" w:firstLine="0"/>
              <w:jc w:val="left"/>
              <w:rPr>
                <w:rtl w:val="0"/>
              </w:rPr>
            </w:pPr>
            <w:r>
              <w:rPr>
                <w:rFonts w:ascii="Times New Roman" w:hAnsi="Times New Roman"/>
                <w:b w:val="1"/>
                <w:bCs w:val="1"/>
                <w:sz w:val="24"/>
                <w:szCs w:val="24"/>
                <w:rtl w:val="0"/>
                <w:lang w:val="en-US"/>
              </w:rPr>
              <w:t>Building Assets with Youth*</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1.5</w:t>
            </w:r>
          </w:p>
          <w:p>
            <w:pPr>
              <w:pStyle w:val="Body"/>
              <w:bidi w:val="0"/>
              <w:spacing w:after="0" w:line="240" w:lineRule="auto"/>
              <w:ind w:left="0" w:right="0" w:firstLine="0"/>
              <w:jc w:val="left"/>
              <w:rPr>
                <w:rtl w:val="0"/>
              </w:rPr>
            </w:pPr>
            <w:r>
              <w:rPr>
                <w:rFonts w:ascii="Times New Roman" w:hAnsi="Times New Roman"/>
                <w:sz w:val="24"/>
                <w:szCs w:val="24"/>
                <w:rtl w:val="0"/>
                <w:lang w:val="en-US"/>
              </w:rPr>
              <w:t>2.0</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The Building Blocks of Social and Emotional Learning</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1.5</w:t>
            </w:r>
          </w:p>
        </w:tc>
      </w:tr>
      <w:tr>
        <w:tblPrEx>
          <w:shd w:val="clear" w:color="auto" w:fill="ced7e7"/>
        </w:tblPrEx>
        <w:trPr>
          <w:trHeight w:val="2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Bullying Prevention</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2.0</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Child Development *</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1.0</w:t>
            </w:r>
          </w:p>
        </w:tc>
      </w:tr>
      <w:tr>
        <w:tblPrEx>
          <w:shd w:val="clear" w:color="auto" w:fill="ced7e7"/>
        </w:tblPrEx>
        <w:trPr>
          <w:trHeight w:val="2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935"/>
              </w:tabs>
              <w:spacing w:after="0" w:line="240" w:lineRule="auto"/>
            </w:pPr>
            <w:r>
              <w:rPr>
                <w:rFonts w:ascii="Times New Roman" w:hAnsi="Times New Roman"/>
                <w:b w:val="1"/>
                <w:bCs w:val="1"/>
                <w:sz w:val="24"/>
                <w:szCs w:val="24"/>
                <w:rtl w:val="0"/>
                <w:lang w:val="en-US"/>
              </w:rPr>
              <w:t>Civic Engagement: Engaging Young People in Civic Life</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935"/>
              </w:tabs>
              <w:spacing w:after="0" w:line="240" w:lineRule="auto"/>
            </w:pPr>
            <w:r>
              <w:rPr>
                <w:rFonts w:ascii="Times New Roman" w:hAnsi="Times New Roman"/>
                <w:sz w:val="24"/>
                <w:szCs w:val="24"/>
                <w:rtl w:val="0"/>
                <w:lang w:val="en-US"/>
              </w:rPr>
              <w:t>1.5</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The Common Core State Standards</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1.5</w:t>
            </w:r>
          </w:p>
        </w:tc>
      </w:tr>
      <w:tr>
        <w:tblPrEx>
          <w:shd w:val="clear" w:color="auto" w:fill="ced7e7"/>
        </w:tblPrEx>
        <w:trPr>
          <w:trHeight w:val="2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Conflict Resolution*</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1.5</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Cultural Competency for Youth Workers*</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2.0</w:t>
            </w:r>
          </w:p>
        </w:tc>
      </w:tr>
      <w:tr>
        <w:tblPrEx>
          <w:shd w:val="clear" w:color="auto" w:fill="ced7e7"/>
        </w:tblPrEx>
        <w:trPr>
          <w:trHeight w:val="2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Engaging Parents*</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1.5</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Health and Academic Achievement*</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2.0</w:t>
            </w:r>
          </w:p>
        </w:tc>
      </w:tr>
      <w:tr>
        <w:tblPrEx>
          <w:shd w:val="clear" w:color="auto" w:fill="ced7e7"/>
        </w:tblPrEx>
        <w:trPr>
          <w:trHeight w:val="2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Integrating STEM into Youth Programs</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2.0</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Leadership (Part 1)</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1.0</w:t>
            </w:r>
          </w:p>
        </w:tc>
      </w:tr>
      <w:tr>
        <w:tblPrEx>
          <w:shd w:val="clear" w:color="auto" w:fill="ced7e7"/>
        </w:tblPrEx>
        <w:trPr>
          <w:trHeight w:val="2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Leadership (Part 2)</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1.0</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Maltreatment of Children*</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1.5</w:t>
            </w:r>
          </w:p>
        </w:tc>
      </w:tr>
      <w:tr>
        <w:tblPrEx>
          <w:shd w:val="clear" w:color="auto" w:fill="ced7e7"/>
        </w:tblPrEx>
        <w:trPr>
          <w:trHeight w:val="2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6990"/>
              </w:tabs>
              <w:spacing w:after="0" w:line="240" w:lineRule="auto"/>
            </w:pPr>
            <w:r>
              <w:rPr>
                <w:rFonts w:ascii="Times New Roman" w:hAnsi="Times New Roman"/>
                <w:b w:val="1"/>
                <w:bCs w:val="1"/>
                <w:sz w:val="24"/>
                <w:szCs w:val="24"/>
                <w:rtl w:val="0"/>
                <w:lang w:val="en-US"/>
              </w:rPr>
              <w:t>Mitigating Summer Learning Loss</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6990"/>
              </w:tabs>
              <w:spacing w:after="0" w:line="240" w:lineRule="auto"/>
            </w:pPr>
            <w:r>
              <w:rPr>
                <w:rFonts w:ascii="Times New Roman" w:hAnsi="Times New Roman"/>
                <w:sz w:val="24"/>
                <w:szCs w:val="24"/>
                <w:rtl w:val="0"/>
                <w:lang w:val="en-US"/>
              </w:rPr>
              <w:t>1.5</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Overview of Positive Youth Development Approach*</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1.5</w:t>
            </w:r>
          </w:p>
        </w:tc>
      </w:tr>
      <w:tr>
        <w:tblPrEx>
          <w:shd w:val="clear" w:color="auto" w:fill="ced7e7"/>
        </w:tblPrEx>
        <w:trPr>
          <w:trHeight w:val="5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Supporting Youth to be Workplace Ready</w:t>
            </w:r>
          </w:p>
          <w:p>
            <w:pPr>
              <w:pStyle w:val="Body"/>
              <w:bidi w:val="0"/>
              <w:spacing w:after="0" w:line="240" w:lineRule="auto"/>
              <w:ind w:left="0" w:right="0" w:firstLine="0"/>
              <w:jc w:val="left"/>
              <w:rPr>
                <w:rtl w:val="0"/>
              </w:rPr>
            </w:pPr>
            <w:r>
              <w:rPr>
                <w:rFonts w:ascii="Times New Roman" w:hAnsi="Times New Roman"/>
                <w:b w:val="1"/>
                <w:bCs w:val="1"/>
                <w:sz w:val="24"/>
                <w:szCs w:val="24"/>
                <w:rtl w:val="0"/>
                <w:lang w:val="en-US"/>
              </w:rPr>
              <w:t xml:space="preserve">Trauma Informed Care (ACEs 2)                                                                                     </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1.0</w:t>
            </w:r>
          </w:p>
          <w:p>
            <w:pPr>
              <w:pStyle w:val="Body"/>
              <w:bidi w:val="0"/>
              <w:spacing w:after="0" w:line="240" w:lineRule="auto"/>
              <w:ind w:left="0" w:right="0" w:firstLine="0"/>
              <w:jc w:val="left"/>
              <w:rPr>
                <w:rtl w:val="0"/>
              </w:rPr>
            </w:pPr>
            <w:r>
              <w:rPr>
                <w:rFonts w:ascii="Times New Roman" w:hAnsi="Times New Roman"/>
                <w:sz w:val="24"/>
                <w:szCs w:val="24"/>
                <w:rtl w:val="0"/>
                <w:lang w:val="en-US"/>
              </w:rPr>
              <w:t>2.0</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Unhealthy Coping Behaviors in Youth</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1.0</w:t>
            </w:r>
          </w:p>
        </w:tc>
      </w:tr>
      <w:tr>
        <w:tblPrEx>
          <w:shd w:val="clear" w:color="auto" w:fill="ced7e7"/>
        </w:tblPrEx>
        <w:trPr>
          <w:trHeight w:val="290" w:hRule="atLeast"/>
        </w:trPr>
        <w:tc>
          <w:tcPr>
            <w:tcW w:type="dxa" w:w="854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Working with Culturally Diverse Youth*</w:t>
            </w:r>
          </w:p>
        </w:tc>
        <w:tc>
          <w:tcPr>
            <w:tcW w:type="dxa" w:w="80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2.0</w:t>
            </w:r>
          </w:p>
        </w:tc>
      </w:tr>
      <w:tr>
        <w:tblPrEx>
          <w:shd w:val="clear" w:color="auto" w:fill="ced7e7"/>
        </w:tblPrEx>
        <w:trPr>
          <w:trHeight w:val="290" w:hRule="atLeast"/>
        </w:trPr>
        <w:tc>
          <w:tcPr>
            <w:tcW w:type="dxa" w:w="854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rtl w:val="0"/>
                <w:lang w:val="en-US"/>
              </w:rPr>
              <w:t>Working with Girls</w:t>
            </w:r>
          </w:p>
        </w:tc>
        <w:tc>
          <w:tcPr>
            <w:tcW w:type="dxa" w:w="805"/>
            <w:tcBorders>
              <w:top w:val="nil"/>
              <w:left w:val="nil"/>
              <w:bottom w:val="nil"/>
              <w:right w:val="nil"/>
            </w:tcBorders>
            <w:shd w:val="clear" w:color="auto" w:fill="f2f2f2"/>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1.0</w:t>
            </w: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0"/>
          <w:szCs w:val="20"/>
        </w:rPr>
      </w:pPr>
      <w:r>
        <w:rPr>
          <w:rFonts w:ascii="Times New Roman" w:hAnsi="Times New Roman"/>
          <w:b w:val="1"/>
          <w:bCs w:val="1"/>
          <w:sz w:val="20"/>
          <w:szCs w:val="20"/>
          <w:rtl w:val="0"/>
        </w:rPr>
        <w:t>*</w:t>
      </w:r>
      <w:r>
        <w:rPr>
          <w:rFonts w:ascii="Times New Roman" w:hAnsi="Times New Roman"/>
          <w:sz w:val="20"/>
          <w:szCs w:val="20"/>
          <w:rtl w:val="0"/>
          <w:lang w:val="en-US"/>
        </w:rPr>
        <w:t xml:space="preserve">Youth Worker Orientation Certificate </w:t>
      </w:r>
    </w:p>
    <w:p>
      <w:pPr>
        <w:pStyle w:val="Body"/>
        <w:jc w:val="both"/>
      </w:pPr>
      <w:r>
        <w:rPr>
          <w:rFonts w:ascii="Times New Roman" w:hAnsi="Times New Roman"/>
          <w:sz w:val="28"/>
          <w:szCs w:val="28"/>
          <w:rtl w:val="0"/>
          <w:lang w:val="en-US"/>
        </w:rPr>
        <w:t xml:space="preserve">All courses are currently free of charge to all Arkansas residents and are registered with the Professional Development Registry (PDR). To obtain more information regarding these courses, contact Karl Benz at </w:t>
      </w:r>
      <w:r>
        <w:rPr>
          <w:rStyle w:val="Hyperlink.0"/>
        </w:rPr>
        <w:fldChar w:fldCharType="begin" w:fldLock="0"/>
      </w:r>
      <w:r>
        <w:rPr>
          <w:rStyle w:val="Hyperlink.0"/>
        </w:rPr>
        <w:instrText xml:space="preserve"> HYPERLINK "mailto:kbenz@astate.edu"</w:instrText>
      </w:r>
      <w:r>
        <w:rPr>
          <w:rStyle w:val="Hyperlink.0"/>
        </w:rPr>
        <w:fldChar w:fldCharType="separate" w:fldLock="0"/>
      </w:r>
      <w:r>
        <w:rPr>
          <w:rStyle w:val="Hyperlink.0"/>
          <w:rtl w:val="0"/>
        </w:rPr>
        <w:t>kbenz@astate.edu</w:t>
      </w:r>
      <w:r>
        <w:rPr/>
        <w:fldChar w:fldCharType="end" w:fldLock="0"/>
      </w:r>
      <w:r>
        <w:rPr>
          <w:rFonts w:ascii="Times New Roman" w:hAnsi="Times New Roman"/>
          <w:sz w:val="28"/>
          <w:szCs w:val="28"/>
          <w:rtl w:val="0"/>
          <w:lang w:val="en-US"/>
        </w:rPr>
        <w:t xml:space="preserve"> or 501-660-1014.</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